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0" w:beforeLines="0" w:line="590" w:lineRule="exact"/>
        <w:jc w:val="left"/>
        <w:rPr>
          <w:rFonts w:hint="eastAsia" w:ascii="黑体" w:hAnsi="黑体" w:eastAsia="黑体" w:cs="黑体"/>
          <w:snapToGrid w:val="0"/>
          <w:sz w:val="32"/>
          <w:szCs w:val="32"/>
          <w:lang w:val="en-US" w:eastAsia="zh-CN"/>
        </w:rPr>
      </w:pPr>
      <w:r>
        <w:rPr>
          <w:rFonts w:hint="eastAsia" w:ascii="黑体" w:hAnsi="黑体" w:eastAsia="黑体" w:cs="黑体"/>
          <w:spacing w:val="-4"/>
          <w:sz w:val="32"/>
          <w:szCs w:val="32"/>
          <w:lang w:val="en-US" w:eastAsia="zh-CN"/>
          <w14:ligatures w14:val="none"/>
        </w:rPr>
        <w:t>粤震函</w:t>
      </w:r>
      <w:r>
        <w:rPr>
          <w:rFonts w:hint="eastAsia" w:ascii="黑体" w:hAnsi="黑体" w:eastAsia="黑体" w:cs="黑体"/>
          <w:spacing w:val="-4"/>
          <w:sz w:val="32"/>
          <w:szCs w:val="32"/>
          <w14:ligatures w14:val="none"/>
        </w:rPr>
        <w:t>〔</w:t>
      </w:r>
      <w:r>
        <w:rPr>
          <w:rFonts w:hint="eastAsia" w:ascii="黑体" w:hAnsi="黑体" w:eastAsia="黑体" w:cs="黑体"/>
          <w:spacing w:val="-4"/>
          <w:sz w:val="32"/>
          <w:szCs w:val="32"/>
          <w:lang w:val="en-US" w:eastAsia="zh-CN"/>
          <w14:ligatures w14:val="none"/>
        </w:rPr>
        <w:t>2026</w:t>
      </w:r>
      <w:r>
        <w:rPr>
          <w:rFonts w:hint="eastAsia" w:ascii="黑体" w:hAnsi="黑体" w:eastAsia="黑体" w:cs="黑体"/>
          <w:spacing w:val="-4"/>
          <w:sz w:val="32"/>
          <w:szCs w:val="32"/>
          <w14:ligatures w14:val="none"/>
        </w:rPr>
        <w:t>〕</w:t>
      </w:r>
      <w:r>
        <w:rPr>
          <w:rFonts w:hint="eastAsia" w:ascii="黑体" w:hAnsi="黑体" w:eastAsia="黑体" w:cs="黑体"/>
          <w:spacing w:val="-4"/>
          <w:sz w:val="32"/>
          <w:szCs w:val="32"/>
          <w:lang w:val="en-US" w:eastAsia="zh-CN"/>
          <w14:ligatures w14:val="none"/>
        </w:rPr>
        <w:t>2号</w:t>
      </w:r>
      <w:r>
        <w:rPr>
          <w:rFonts w:hint="eastAsia" w:ascii="黑体" w:hAnsi="黑体" w:eastAsia="黑体" w:cs="黑体"/>
          <w:snapToGrid w:val="0"/>
          <w:sz w:val="32"/>
          <w:szCs w:val="32"/>
        </w:rPr>
        <w:t>附件</w:t>
      </w:r>
      <w:r>
        <w:rPr>
          <w:rFonts w:hint="eastAsia" w:ascii="黑体" w:hAnsi="黑体" w:eastAsia="黑体" w:cs="黑体"/>
          <w:snapToGrid w:val="0"/>
          <w:sz w:val="32"/>
          <w:szCs w:val="32"/>
          <w:lang w:val="en-US" w:eastAsia="zh-CN"/>
        </w:rPr>
        <w:t>6</w:t>
      </w:r>
    </w:p>
    <w:p>
      <w:pPr>
        <w:widowControl w:val="0"/>
        <w:spacing w:before="0" w:beforeLines="0" w:line="590" w:lineRule="exact"/>
        <w:jc w:val="left"/>
        <w:rPr>
          <w:rFonts w:hint="eastAsia" w:ascii="黑体" w:hAnsi="黑体" w:eastAsia="黑体" w:cs="黑体"/>
          <w:snapToGrid w:val="0"/>
          <w:sz w:val="32"/>
          <w:szCs w:val="32"/>
          <w:lang w:val="en-US" w:eastAsia="zh-CN"/>
        </w:rPr>
      </w:pPr>
    </w:p>
    <w:p>
      <w:pPr>
        <w:snapToGrid w:val="0"/>
        <w:spacing w:line="570" w:lineRule="exact"/>
        <w:jc w:val="center"/>
        <w:rPr>
          <w:rFonts w:hint="eastAsia" w:ascii="方正小标宋简体" w:hAnsi="方正小标宋简体" w:eastAsia="方正小标宋简体" w:cs="方正小标宋简体"/>
          <w:snapToGrid w:val="0"/>
          <w:kern w:val="0"/>
          <w:sz w:val="44"/>
          <w:szCs w:val="44"/>
        </w:rPr>
      </w:pPr>
      <w:r>
        <w:rPr>
          <w:rFonts w:ascii="方正小标宋简体" w:hAnsi="方正小标宋简体" w:eastAsia="方正小标宋简体" w:cs="方正小标宋简体"/>
          <w:snapToGrid w:val="0"/>
          <w:kern w:val="0"/>
          <w:sz w:val="44"/>
          <w:szCs w:val="44"/>
          <w:lang w:val="en"/>
        </w:rPr>
        <w:t>地震安全性评价单位</w:t>
      </w:r>
      <w:r>
        <w:rPr>
          <w:rFonts w:hint="eastAsia" w:ascii="方正小标宋简体" w:hAnsi="方正小标宋简体" w:eastAsia="方正小标宋简体" w:cs="方正小标宋简体"/>
          <w:snapToGrid w:val="0"/>
          <w:kern w:val="0"/>
          <w:sz w:val="44"/>
          <w:szCs w:val="44"/>
        </w:rPr>
        <w:t>信用评价指标</w:t>
      </w:r>
    </w:p>
    <w:tbl>
      <w:tblPr>
        <w:tblStyle w:val="17"/>
        <w:tblW w:w="57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8"/>
        <w:gridCol w:w="582"/>
        <w:gridCol w:w="860"/>
        <w:gridCol w:w="4133"/>
        <w:gridCol w:w="1063"/>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黑体" w:hAnsi="黑体" w:eastAsia="黑体" w:cs="仿宋_GB2312"/>
                <w:bCs/>
                <w:snapToGrid w:val="0"/>
                <w:kern w:val="0"/>
                <w:sz w:val="21"/>
                <w:szCs w:val="21"/>
              </w:rPr>
            </w:pPr>
            <w:r>
              <w:rPr>
                <w:rFonts w:hint="eastAsia" w:ascii="黑体" w:hAnsi="黑体" w:eastAsia="黑体" w:cs="仿宋_GB2312"/>
                <w:bCs/>
                <w:snapToGrid w:val="0"/>
                <w:kern w:val="0"/>
                <w:sz w:val="21"/>
                <w:szCs w:val="21"/>
              </w:rPr>
              <w:t>序号</w:t>
            </w:r>
          </w:p>
        </w:tc>
        <w:tc>
          <w:tcPr>
            <w:tcW w:w="306" w:type="pct"/>
            <w:tcMar>
              <w:top w:w="12" w:type="dxa"/>
              <w:left w:w="12" w:type="dxa"/>
              <w:right w:w="12" w:type="dxa"/>
            </w:tcMar>
            <w:vAlign w:val="center"/>
          </w:tcPr>
          <w:p>
            <w:pPr>
              <w:widowControl/>
              <w:snapToGrid w:val="0"/>
              <w:spacing w:after="0" w:line="240" w:lineRule="auto"/>
              <w:jc w:val="center"/>
              <w:textAlignment w:val="center"/>
              <w:rPr>
                <w:rFonts w:hint="eastAsia" w:ascii="黑体" w:hAnsi="黑体" w:eastAsia="黑体" w:cs="仿宋_GB2312"/>
                <w:bCs/>
                <w:snapToGrid w:val="0"/>
                <w:kern w:val="0"/>
                <w:sz w:val="21"/>
                <w:szCs w:val="21"/>
              </w:rPr>
            </w:pPr>
            <w:r>
              <w:rPr>
                <w:rFonts w:hint="eastAsia" w:ascii="黑体" w:hAnsi="黑体" w:eastAsia="黑体" w:cs="仿宋_GB2312"/>
                <w:bCs/>
                <w:snapToGrid w:val="0"/>
                <w:kern w:val="0"/>
                <w:sz w:val="21"/>
                <w:szCs w:val="21"/>
              </w:rPr>
              <w:t>一级指标</w:t>
            </w:r>
          </w:p>
        </w:tc>
        <w:tc>
          <w:tcPr>
            <w:tcW w:w="452" w:type="pct"/>
            <w:tcMar>
              <w:top w:w="12" w:type="dxa"/>
              <w:left w:w="12" w:type="dxa"/>
              <w:right w:w="12" w:type="dxa"/>
            </w:tcMar>
            <w:vAlign w:val="center"/>
          </w:tcPr>
          <w:p>
            <w:pPr>
              <w:widowControl/>
              <w:snapToGrid w:val="0"/>
              <w:spacing w:after="0" w:line="240" w:lineRule="auto"/>
              <w:jc w:val="center"/>
              <w:textAlignment w:val="center"/>
              <w:rPr>
                <w:rFonts w:hint="eastAsia" w:ascii="黑体" w:hAnsi="黑体" w:eastAsia="黑体" w:cs="仿宋_GB2312"/>
                <w:bCs/>
                <w:snapToGrid w:val="0"/>
                <w:kern w:val="0"/>
                <w:sz w:val="21"/>
                <w:szCs w:val="21"/>
              </w:rPr>
            </w:pPr>
            <w:r>
              <w:rPr>
                <w:rFonts w:hint="eastAsia" w:ascii="黑体" w:hAnsi="黑体" w:eastAsia="黑体" w:cs="仿宋_GB2312"/>
                <w:bCs/>
                <w:snapToGrid w:val="0"/>
                <w:kern w:val="0"/>
                <w:sz w:val="21"/>
                <w:szCs w:val="21"/>
              </w:rPr>
              <w:t>二级指标</w:t>
            </w:r>
          </w:p>
        </w:tc>
        <w:tc>
          <w:tcPr>
            <w:tcW w:w="2173" w:type="pct"/>
            <w:tcMar>
              <w:top w:w="12" w:type="dxa"/>
              <w:left w:w="12" w:type="dxa"/>
              <w:right w:w="12" w:type="dxa"/>
            </w:tcMar>
            <w:vAlign w:val="center"/>
          </w:tcPr>
          <w:p>
            <w:pPr>
              <w:widowControl/>
              <w:snapToGrid w:val="0"/>
              <w:spacing w:after="0" w:line="240" w:lineRule="auto"/>
              <w:jc w:val="center"/>
              <w:textAlignment w:val="center"/>
              <w:rPr>
                <w:rFonts w:hint="eastAsia" w:ascii="黑体" w:hAnsi="黑体" w:eastAsia="黑体" w:cs="仿宋_GB2312"/>
                <w:bCs/>
                <w:snapToGrid w:val="0"/>
                <w:kern w:val="0"/>
                <w:sz w:val="21"/>
                <w:szCs w:val="21"/>
              </w:rPr>
            </w:pPr>
            <w:r>
              <w:rPr>
                <w:rFonts w:hint="eastAsia" w:ascii="黑体" w:hAnsi="黑体" w:eastAsia="黑体" w:cs="仿宋_GB2312"/>
                <w:bCs/>
                <w:snapToGrid w:val="0"/>
                <w:kern w:val="0"/>
                <w:sz w:val="21"/>
                <w:szCs w:val="21"/>
              </w:rPr>
              <w:t>评分规则</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黑体" w:hAnsi="黑体" w:eastAsia="黑体" w:cs="仿宋_GB2312"/>
                <w:bCs/>
                <w:snapToGrid w:val="0"/>
                <w:kern w:val="0"/>
                <w:sz w:val="21"/>
                <w:szCs w:val="21"/>
              </w:rPr>
            </w:pPr>
            <w:r>
              <w:rPr>
                <w:rFonts w:hint="eastAsia" w:ascii="黑体" w:hAnsi="黑体" w:eastAsia="黑体" w:cs="仿宋_GB2312"/>
                <w:bCs/>
                <w:snapToGrid w:val="0"/>
                <w:kern w:val="0"/>
                <w:sz w:val="21"/>
                <w:szCs w:val="21"/>
              </w:rPr>
              <w:t>计分方式</w:t>
            </w:r>
          </w:p>
        </w:tc>
        <w:tc>
          <w:tcPr>
            <w:tcW w:w="1218" w:type="pct"/>
            <w:tcMar>
              <w:top w:w="12" w:type="dxa"/>
              <w:left w:w="12" w:type="dxa"/>
              <w:right w:w="12" w:type="dxa"/>
            </w:tcMar>
            <w:vAlign w:val="center"/>
          </w:tcPr>
          <w:p>
            <w:pPr>
              <w:widowControl/>
              <w:snapToGrid w:val="0"/>
              <w:spacing w:after="0" w:line="240" w:lineRule="auto"/>
              <w:jc w:val="center"/>
              <w:textAlignment w:val="center"/>
              <w:rPr>
                <w:rFonts w:hint="eastAsia" w:ascii="黑体" w:hAnsi="黑体" w:eastAsia="黑体" w:cs="仿宋_GB2312"/>
                <w:bCs/>
                <w:snapToGrid w:val="0"/>
                <w:kern w:val="0"/>
                <w:sz w:val="21"/>
                <w:szCs w:val="21"/>
              </w:rPr>
            </w:pPr>
            <w:r>
              <w:rPr>
                <w:rFonts w:hint="eastAsia" w:ascii="黑体" w:hAnsi="黑体" w:eastAsia="黑体" w:cs="仿宋_GB2312"/>
                <w:bCs/>
                <w:snapToGrid w:val="0"/>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w:t>
            </w:r>
          </w:p>
        </w:tc>
        <w:tc>
          <w:tcPr>
            <w:tcW w:w="306" w:type="pct"/>
            <w:vMerge w:val="restart"/>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基本信息</w:t>
            </w:r>
          </w:p>
        </w:tc>
        <w:tc>
          <w:tcPr>
            <w:tcW w:w="452" w:type="pct"/>
            <w:vMerge w:val="restar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人员信息</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地震学相关专业高级专业技术职称的</w:t>
            </w:r>
            <w:r>
              <w:rPr>
                <w:rFonts w:hint="eastAsia" w:ascii="仿宋_GB2312" w:hAnsi="仿宋_GB2312" w:cs="仿宋_GB2312"/>
                <w:snapToGrid w:val="0"/>
                <w:kern w:val="0"/>
                <w:sz w:val="21"/>
                <w:szCs w:val="21"/>
                <w:lang w:val="en"/>
              </w:rPr>
              <w:t>全职</w:t>
            </w:r>
            <w:r>
              <w:rPr>
                <w:rFonts w:hint="eastAsia" w:ascii="仿宋_GB2312" w:hAnsi="仿宋_GB2312" w:cs="仿宋_GB2312"/>
                <w:snapToGrid w:val="0"/>
                <w:kern w:val="0"/>
                <w:sz w:val="21"/>
                <w:szCs w:val="21"/>
              </w:rPr>
              <w:t>人员不少于2人，每多一人加1分，最多加3分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加1分</w:t>
            </w:r>
          </w:p>
        </w:tc>
        <w:tc>
          <w:tcPr>
            <w:tcW w:w="1218" w:type="pct"/>
            <w:vMerge w:val="restar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专业技术人员具体要求见《关于开展地震安全性评价从业单位专业技术人员信息收集和公示工作的通知》（中震函〔2022〕118号）。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spacing w:val="-6"/>
                <w:kern w:val="0"/>
                <w:sz w:val="21"/>
                <w:szCs w:val="21"/>
              </w:rPr>
            </w:pPr>
            <w:r>
              <w:rPr>
                <w:rFonts w:hint="eastAsia" w:ascii="仿宋_GB2312" w:hAnsi="仿宋_GB2312" w:cs="仿宋_GB2312"/>
                <w:snapToGrid w:val="0"/>
                <w:spacing w:val="-6"/>
                <w:kern w:val="0"/>
                <w:sz w:val="21"/>
                <w:szCs w:val="21"/>
              </w:rPr>
              <w:t>地震地质学相关专业高级专业技术职称的</w:t>
            </w:r>
            <w:r>
              <w:rPr>
                <w:rFonts w:hint="eastAsia" w:ascii="仿宋_GB2312" w:hAnsi="仿宋_GB2312" w:cs="仿宋_GB2312"/>
                <w:snapToGrid w:val="0"/>
                <w:spacing w:val="-6"/>
                <w:kern w:val="0"/>
                <w:sz w:val="21"/>
                <w:szCs w:val="21"/>
                <w:lang w:val="en"/>
              </w:rPr>
              <w:t>全职</w:t>
            </w:r>
            <w:r>
              <w:rPr>
                <w:rFonts w:hint="eastAsia" w:ascii="仿宋_GB2312" w:hAnsi="仿宋_GB2312" w:cs="仿宋_GB2312"/>
                <w:snapToGrid w:val="0"/>
                <w:spacing w:val="-6"/>
                <w:kern w:val="0"/>
                <w:sz w:val="21"/>
                <w:szCs w:val="21"/>
              </w:rPr>
              <w:t>人员不少于2人，每多一人加1分，最多加3分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加1分</w:t>
            </w:r>
          </w:p>
        </w:tc>
        <w:tc>
          <w:tcPr>
            <w:tcW w:w="1218"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3</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spacing w:val="-6"/>
                <w:kern w:val="0"/>
                <w:sz w:val="21"/>
                <w:szCs w:val="21"/>
              </w:rPr>
            </w:pPr>
            <w:r>
              <w:rPr>
                <w:rFonts w:hint="eastAsia" w:ascii="仿宋_GB2312" w:hAnsi="仿宋_GB2312" w:cs="仿宋_GB2312"/>
                <w:snapToGrid w:val="0"/>
                <w:spacing w:val="-6"/>
                <w:kern w:val="0"/>
                <w:sz w:val="21"/>
                <w:szCs w:val="21"/>
              </w:rPr>
              <w:t>地震工程学相关专业高级专业技术职称</w:t>
            </w:r>
            <w:r>
              <w:rPr>
                <w:rFonts w:hint="eastAsia" w:ascii="仿宋_GB2312" w:hAnsi="仿宋_GB2312" w:cs="仿宋_GB2312"/>
                <w:snapToGrid w:val="0"/>
                <w:spacing w:val="-6"/>
                <w:kern w:val="0"/>
                <w:sz w:val="21"/>
                <w:szCs w:val="21"/>
                <w:lang w:val="en"/>
              </w:rPr>
              <w:t>全职</w:t>
            </w:r>
            <w:r>
              <w:rPr>
                <w:rFonts w:hint="eastAsia" w:ascii="仿宋_GB2312" w:hAnsi="仿宋_GB2312" w:cs="仿宋_GB2312"/>
                <w:snapToGrid w:val="0"/>
                <w:spacing w:val="-6"/>
                <w:kern w:val="0"/>
                <w:sz w:val="21"/>
                <w:szCs w:val="21"/>
              </w:rPr>
              <w:t>人员不少于2人，每多一人加1分，最多加3分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加1分</w:t>
            </w:r>
          </w:p>
        </w:tc>
        <w:tc>
          <w:tcPr>
            <w:tcW w:w="1218"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4</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spacing w:val="-6"/>
                <w:kern w:val="0"/>
                <w:sz w:val="21"/>
                <w:szCs w:val="21"/>
              </w:rPr>
            </w:pPr>
            <w:r>
              <w:rPr>
                <w:rFonts w:hint="eastAsia" w:ascii="仿宋_GB2312" w:hAnsi="仿宋_GB2312" w:cs="仿宋_GB2312"/>
                <w:snapToGrid w:val="0"/>
                <w:spacing w:val="-6"/>
                <w:kern w:val="0"/>
                <w:sz w:val="21"/>
                <w:szCs w:val="21"/>
              </w:rPr>
              <w:t>以上3个相关专业具有高级专业技术职称的非全职人员，每一人加0.5分，最多加2分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加0.5分</w:t>
            </w:r>
          </w:p>
        </w:tc>
        <w:tc>
          <w:tcPr>
            <w:tcW w:w="1218"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1"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5</w:t>
            </w:r>
          </w:p>
        </w:tc>
        <w:tc>
          <w:tcPr>
            <w:tcW w:w="306" w:type="pct"/>
            <w:vMerge w:val="restar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行为良好信息</w:t>
            </w:r>
          </w:p>
        </w:tc>
        <w:tc>
          <w:tcPr>
            <w:tcW w:w="452"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国家级荣誉信息</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安评单位或</w:t>
            </w:r>
            <w:r>
              <w:rPr>
                <w:rFonts w:hint="eastAsia" w:ascii="仿宋_GB2312" w:hAnsi="仿宋_GB2312" w:cs="仿宋_GB2312"/>
                <w:snapToGrid w:val="0"/>
                <w:kern w:val="0"/>
                <w:sz w:val="21"/>
                <w:szCs w:val="21"/>
                <w:lang w:val="en"/>
              </w:rPr>
              <w:t>全职</w:t>
            </w:r>
            <w:r>
              <w:rPr>
                <w:rFonts w:hint="eastAsia" w:ascii="仿宋_GB2312" w:hAnsi="仿宋_GB2312" w:cs="仿宋_GB2312"/>
                <w:snapToGrid w:val="0"/>
                <w:kern w:val="0"/>
                <w:sz w:val="21"/>
                <w:szCs w:val="21"/>
              </w:rPr>
              <w:t>人员获得国家级相关通报表扬、奖励、表彰等，每次加3分，最多加6分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加3分</w:t>
            </w:r>
          </w:p>
        </w:tc>
        <w:tc>
          <w:tcPr>
            <w:tcW w:w="1218" w:type="pct"/>
            <w:vMerge w:val="restar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初次信用评价采用最近3年的荣誉信息，年度信用评价和动态信用评价采用近一年度的荣誉信息，均以发文时间为准。同一荣誉信息不重复加分。如取消单位/个人荣誉或获奖人员离职，动态扣减相应分值。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6</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省部级荣誉信息</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安评单位或</w:t>
            </w:r>
            <w:r>
              <w:rPr>
                <w:rFonts w:hint="eastAsia" w:ascii="仿宋_GB2312" w:hAnsi="仿宋_GB2312" w:cs="仿宋_GB2312"/>
                <w:snapToGrid w:val="0"/>
                <w:kern w:val="0"/>
                <w:sz w:val="21"/>
                <w:szCs w:val="21"/>
                <w:lang w:val="en"/>
              </w:rPr>
              <w:t>全职</w:t>
            </w:r>
            <w:r>
              <w:rPr>
                <w:rFonts w:hint="eastAsia" w:ascii="仿宋_GB2312" w:hAnsi="仿宋_GB2312" w:cs="仿宋_GB2312"/>
                <w:snapToGrid w:val="0"/>
                <w:kern w:val="0"/>
                <w:sz w:val="21"/>
                <w:szCs w:val="21"/>
              </w:rPr>
              <w:t>人员获得省部级相关通报表扬、奖励、表彰等，每次加2分，最多加6分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加2分</w:t>
            </w:r>
          </w:p>
        </w:tc>
        <w:tc>
          <w:tcPr>
            <w:tcW w:w="1218"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7</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报告质量</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地震安全性评价报告经一次修改即通过技术审查的，一个报告加</w:t>
            </w:r>
            <w:r>
              <w:rPr>
                <w:rFonts w:hint="eastAsia" w:ascii="仿宋_GB2312" w:hAnsi="仿宋_GB2312" w:cs="仿宋_GB2312"/>
                <w:snapToGrid w:val="0"/>
                <w:kern w:val="0"/>
                <w:sz w:val="21"/>
                <w:szCs w:val="21"/>
                <w:lang w:val="en"/>
              </w:rPr>
              <w:t>1</w:t>
            </w:r>
            <w:r>
              <w:rPr>
                <w:rFonts w:hint="eastAsia" w:ascii="仿宋_GB2312" w:hAnsi="仿宋_GB2312" w:cs="仿宋_GB2312"/>
                <w:snapToGrid w:val="0"/>
                <w:kern w:val="0"/>
                <w:sz w:val="21"/>
                <w:szCs w:val="21"/>
              </w:rPr>
              <w:t>分，最多加8分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加1分</w:t>
            </w:r>
          </w:p>
        </w:tc>
        <w:tc>
          <w:tcPr>
            <w:tcW w:w="1218" w:type="pc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一次修改即通过技术审查是指：对报告开展技术审查后，评审专家同意报告“通</w:t>
            </w:r>
            <w:bookmarkStart w:id="0" w:name="_GoBack"/>
            <w:bookmarkEnd w:id="0"/>
            <w:r>
              <w:rPr>
                <w:rFonts w:hint="eastAsia" w:ascii="仿宋_GB2312" w:hAnsi="仿宋_GB2312" w:cs="仿宋_GB2312"/>
                <w:snapToGrid w:val="0"/>
                <w:kern w:val="0"/>
                <w:sz w:val="21"/>
                <w:szCs w:val="21"/>
              </w:rPr>
              <w:t>过评审”或者“修改后通过评审”。安评单位根据专家组的意见对报告进行修改，专家组对修改后的报告没有再提出其他修改意见，并同意通过技术审查。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8</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restar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配合监管</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安评单位及时向项目所在地省级地震局报告项目承揽信息，并提交安评报告编制工作方案的，每次加0.5分，最多加2.5分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加0.5分</w:t>
            </w:r>
          </w:p>
        </w:tc>
        <w:tc>
          <w:tcPr>
            <w:tcW w:w="1218" w:type="pc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lang w:val="en"/>
              </w:rPr>
              <w:t>9</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安评单位主动配合接受各级地震部门对于地震安全性评价工作现场检查的，每次加0.5分，最多加2.5分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加0.5分</w:t>
            </w:r>
          </w:p>
        </w:tc>
        <w:tc>
          <w:tcPr>
            <w:tcW w:w="1218" w:type="pc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10</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安评单位项目负责人或场地专业负责人主动到场并协助开展地震安全性评价工作现场检查的，每次加0.5分，最多加2.5分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加0.5分</w:t>
            </w:r>
          </w:p>
        </w:tc>
        <w:tc>
          <w:tcPr>
            <w:tcW w:w="1218" w:type="pc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对现场工作进行完整的照片（影像）记录，加0.5分，最多加2.5分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加0.5分</w:t>
            </w:r>
          </w:p>
        </w:tc>
        <w:tc>
          <w:tcPr>
            <w:tcW w:w="1218" w:type="pc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lang w:val="en"/>
              </w:rPr>
            </w:pPr>
            <w:r>
              <w:rPr>
                <w:rFonts w:hint="eastAsia" w:ascii="仿宋_GB2312" w:hAnsi="仿宋_GB2312" w:cs="仿宋_GB2312"/>
                <w:snapToGrid w:val="0"/>
                <w:kern w:val="0"/>
                <w:sz w:val="21"/>
                <w:szCs w:val="21"/>
              </w:rPr>
              <w:t>12</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主动邀请国家/省级地震安全性评价技术审查专家库的专家(不少于3人）开展野外验收的，每次加0.5分，最多加2.5分</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加0.5分</w:t>
            </w:r>
          </w:p>
        </w:tc>
        <w:tc>
          <w:tcPr>
            <w:tcW w:w="1218" w:type="pc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13</w:t>
            </w:r>
          </w:p>
        </w:tc>
        <w:tc>
          <w:tcPr>
            <w:tcW w:w="306" w:type="pct"/>
            <w:vMerge w:val="restar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z w:val="21"/>
                <w:szCs w:val="24"/>
              </w:rPr>
            </w:pPr>
            <w:r>
              <w:rPr>
                <w:rFonts w:hint="eastAsia" w:ascii="仿宋_GB2312" w:hAnsi="仿宋_GB2312" w:cs="仿宋_GB2312"/>
                <w:snapToGrid w:val="0"/>
                <w:kern w:val="0"/>
                <w:sz w:val="21"/>
                <w:szCs w:val="21"/>
              </w:rPr>
              <w:t>失信行为信息</w:t>
            </w:r>
          </w:p>
        </w:tc>
        <w:tc>
          <w:tcPr>
            <w:tcW w:w="452" w:type="pct"/>
            <w:vMerge w:val="restart"/>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人员信息</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伪造技术人员学历、职称等信息</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每1人次扣3分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14</w:t>
            </w:r>
          </w:p>
        </w:tc>
        <w:tc>
          <w:tcPr>
            <w:tcW w:w="306" w:type="pct"/>
            <w:vMerge w:val="continue"/>
            <w:tcMar>
              <w:top w:w="12" w:type="dxa"/>
              <w:left w:w="12" w:type="dxa"/>
              <w:right w:w="12" w:type="dxa"/>
            </w:tcMa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伪造技术人员与单位的劳动关系</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每1人次扣2分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15</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同一专业技术人员同时在2家及以上安评单位从业</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每单位每人次各扣20分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16</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restar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技术信息</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伪造具有承担地震安全性评价工作的技术装备和专用软件系统情况</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扣2分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17</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伪</w:t>
            </w:r>
            <w:r>
              <w:rPr>
                <w:rFonts w:hint="eastAsia" w:ascii="仿宋_GB2312" w:hAnsi="仿宋_GB2312" w:cs="仿宋_GB2312"/>
                <w:snapToGrid w:val="0"/>
                <w:spacing w:val="-6"/>
                <w:kern w:val="0"/>
                <w:sz w:val="21"/>
                <w:szCs w:val="21"/>
              </w:rPr>
              <w:t>造具备相应的实验、测试条件和分析能力情况</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扣2分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18</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伪造质量管理体系情况</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扣2分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19</w:t>
            </w:r>
          </w:p>
        </w:tc>
        <w:tc>
          <w:tcPr>
            <w:tcW w:w="306" w:type="pct"/>
            <w:vMerge w:val="continue"/>
            <w:tcMar>
              <w:top w:w="12" w:type="dxa"/>
              <w:left w:w="12" w:type="dxa"/>
              <w:right w:w="12" w:type="dxa"/>
            </w:tcMar>
            <w:vAlign w:val="center"/>
          </w:tcPr>
          <w:p>
            <w:pPr>
              <w:snapToGrid w:val="0"/>
              <w:spacing w:after="0" w:line="240" w:lineRule="auto"/>
              <w:rPr>
                <w:rFonts w:hint="eastAsia" w:ascii="仿宋_GB2312" w:hAnsi="仿宋_GB2312" w:cs="仿宋_GB2312"/>
                <w:sz w:val="21"/>
                <w:szCs w:val="24"/>
              </w:rPr>
            </w:pPr>
          </w:p>
        </w:tc>
        <w:tc>
          <w:tcPr>
            <w:tcW w:w="452" w:type="pct"/>
            <w:vMerge w:val="restar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现场工作</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未及时向项目所在地省级地震局报告项目承揽信息，逃避现场工作检查的行为</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每次扣5分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20</w:t>
            </w:r>
          </w:p>
        </w:tc>
        <w:tc>
          <w:tcPr>
            <w:tcW w:w="306" w:type="pct"/>
            <w:vMerge w:val="continue"/>
            <w:tcMar>
              <w:top w:w="12" w:type="dxa"/>
              <w:left w:w="12" w:type="dxa"/>
              <w:right w:w="12" w:type="dxa"/>
            </w:tcMar>
            <w:vAlign w:val="center"/>
          </w:tcPr>
          <w:p>
            <w:pPr>
              <w:snapToGrid w:val="0"/>
              <w:spacing w:after="0" w:line="240" w:lineRule="auto"/>
              <w:rPr>
                <w:rFonts w:hint="eastAsia" w:ascii="仿宋_GB2312" w:hAnsi="仿宋_GB2312" w:cs="仿宋_GB2312"/>
                <w:sz w:val="21"/>
                <w:szCs w:val="24"/>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伪造地震安全性评价现场工作原始记录和原始数据（含钻探、剪切波速测试、地球物理勘探等现场工作原始数据以及动三轴或共振柱试验原始数据）</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每次扣10分</w:t>
            </w:r>
          </w:p>
        </w:tc>
        <w:tc>
          <w:tcPr>
            <w:tcW w:w="121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21</w:t>
            </w:r>
          </w:p>
        </w:tc>
        <w:tc>
          <w:tcPr>
            <w:tcW w:w="306" w:type="pct"/>
            <w:vMerge w:val="continue"/>
            <w:tcMar>
              <w:top w:w="12" w:type="dxa"/>
              <w:left w:w="12" w:type="dxa"/>
              <w:right w:w="12" w:type="dxa"/>
            </w:tcMar>
            <w:vAlign w:val="center"/>
          </w:tcPr>
          <w:p>
            <w:pPr>
              <w:snapToGrid w:val="0"/>
              <w:spacing w:after="0" w:line="240" w:lineRule="auto"/>
              <w:rPr>
                <w:rFonts w:hint="eastAsia" w:ascii="仿宋_GB2312" w:hAnsi="仿宋_GB2312" w:cs="仿宋_GB2312"/>
                <w:sz w:val="21"/>
                <w:szCs w:val="24"/>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以暴力、威胁等方式拒绝、阻挠地震工作主管部门执法人员依法实施现场监督检查，或者拒不配合违法行为查处</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每次扣10分</w:t>
            </w:r>
          </w:p>
        </w:tc>
        <w:tc>
          <w:tcPr>
            <w:tcW w:w="121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3"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22</w:t>
            </w:r>
          </w:p>
        </w:tc>
        <w:tc>
          <w:tcPr>
            <w:tcW w:w="306" w:type="pct"/>
            <w:vMerge w:val="continue"/>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c>
          <w:tcPr>
            <w:tcW w:w="452" w:type="pct"/>
            <w:vMerge w:val="restar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技术审查</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地震安全性评价报告因质量问题未通过技术审查</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每次扣5分</w:t>
            </w:r>
          </w:p>
        </w:tc>
        <w:tc>
          <w:tcPr>
            <w:tcW w:w="1218" w:type="pct"/>
            <w:vMerge w:val="restar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在近一年度地震安全性评价报告技术审查中均未出现因质量问题未通过技术审查或反复修改3次（含）以上仍未通过技术审查的，可申请信用修复，每个报告加1分，最高加分值不超过该情况累计扣分值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w:t>
            </w:r>
          </w:p>
        </w:tc>
        <w:tc>
          <w:tcPr>
            <w:tcW w:w="306" w:type="pct"/>
            <w:vMerge w:val="continue"/>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技术审查过程中安评报告反复修改3次（含）以上，仍未通过技术审查的</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每次扣2分</w:t>
            </w:r>
          </w:p>
        </w:tc>
        <w:tc>
          <w:tcPr>
            <w:tcW w:w="1218" w:type="pct"/>
            <w:vMerge w:val="continue"/>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lang w:val="en"/>
              </w:rPr>
              <w:t>2</w:t>
            </w:r>
            <w:r>
              <w:rPr>
                <w:rFonts w:hint="eastAsia" w:ascii="仿宋_GB2312" w:hAnsi="仿宋_GB2312" w:cs="仿宋_GB2312"/>
                <w:snapToGrid w:val="0"/>
                <w:kern w:val="0"/>
                <w:sz w:val="21"/>
                <w:szCs w:val="21"/>
              </w:rPr>
              <w:t>4</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经查发现地震安全性评价报告实际编写人与签章人员不符</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每次扣10分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lang w:val="en"/>
              </w:rPr>
              <w:t>2</w:t>
            </w:r>
            <w:r>
              <w:rPr>
                <w:rFonts w:hint="eastAsia" w:ascii="仿宋_GB2312" w:hAnsi="仿宋_GB2312" w:cs="仿宋_GB2312"/>
                <w:snapToGrid w:val="0"/>
                <w:kern w:val="0"/>
                <w:sz w:val="21"/>
                <w:szCs w:val="21"/>
              </w:rPr>
              <w:t>5</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在技术审查过程中，评价单位总技术负责人和专业技术负责人无故不到场的</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每次扣2分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lang w:val="en"/>
              </w:rPr>
              <w:t>2</w:t>
            </w:r>
            <w:r>
              <w:rPr>
                <w:rFonts w:hint="eastAsia" w:ascii="仿宋_GB2312" w:hAnsi="仿宋_GB2312" w:cs="仿宋_GB2312"/>
                <w:snapToGrid w:val="0"/>
                <w:kern w:val="0"/>
                <w:sz w:val="21"/>
                <w:szCs w:val="21"/>
              </w:rPr>
              <w:t>6</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在中国地震局组织的报告抽查检查工作中，发现安评单位存在不合格报告的</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每次扣2分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27</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left"/>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在中国地震局组织的报告抽查检查工作中，发现安评单位存在质量较差报告的</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每次扣1分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28</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tcMar>
              <w:top w:w="12" w:type="dxa"/>
              <w:left w:w="12" w:type="dxa"/>
              <w:right w:w="12" w:type="dxa"/>
            </w:tcMar>
            <w:vAlign w:val="center"/>
          </w:tcPr>
          <w:p>
            <w:pPr>
              <w:tabs>
                <w:tab w:val="center" w:pos="4153"/>
                <w:tab w:val="right" w:pos="8306"/>
              </w:tabs>
              <w:snapToGrid w:val="0"/>
              <w:spacing w:after="0" w:line="240" w:lineRule="auto"/>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经营服务</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无特殊原因，未按照合同规定期限按期完成工作</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每次扣5分</w:t>
            </w:r>
          </w:p>
        </w:tc>
        <w:tc>
          <w:tcPr>
            <w:tcW w:w="1218"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29</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tcMar>
              <w:top w:w="12" w:type="dxa"/>
              <w:left w:w="12" w:type="dxa"/>
              <w:right w:w="12" w:type="dxa"/>
            </w:tcMar>
            <w:vAlign w:val="center"/>
          </w:tcPr>
          <w:p>
            <w:pPr>
              <w:tabs>
                <w:tab w:val="center" w:pos="4153"/>
                <w:tab w:val="right" w:pos="8306"/>
              </w:tabs>
              <w:snapToGrid w:val="0"/>
              <w:spacing w:after="0" w:line="240" w:lineRule="auto"/>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违法行为</w:t>
            </w:r>
          </w:p>
        </w:tc>
        <w:tc>
          <w:tcPr>
            <w:tcW w:w="2173" w:type="pct"/>
            <w:tcMar>
              <w:top w:w="12" w:type="dxa"/>
              <w:left w:w="12" w:type="dxa"/>
              <w:right w:w="12" w:type="dxa"/>
            </w:tcMar>
            <w:vAlign w:val="center"/>
          </w:tcPr>
          <w:p>
            <w:pPr>
              <w:widowControl/>
              <w:tabs>
                <w:tab w:val="center" w:pos="4153"/>
                <w:tab w:val="right" w:pos="8306"/>
              </w:tabs>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以其他地震安全性评价单位的名义承揽地震安全性评价业务或允许其他单位以本单位名义承揽地震安全性评价业务的</w:t>
            </w:r>
          </w:p>
        </w:tc>
        <w:tc>
          <w:tcPr>
            <w:tcW w:w="559" w:type="pct"/>
            <w:tcMar>
              <w:top w:w="12" w:type="dxa"/>
              <w:left w:w="12" w:type="dxa"/>
              <w:right w:w="12" w:type="dxa"/>
            </w:tcMar>
            <w:vAlign w:val="center"/>
          </w:tcPr>
          <w:p>
            <w:pPr>
              <w:widowControl/>
              <w:tabs>
                <w:tab w:val="center" w:pos="4153"/>
                <w:tab w:val="right" w:pos="8306"/>
              </w:tabs>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每次扣30分</w:t>
            </w:r>
          </w:p>
        </w:tc>
        <w:tc>
          <w:tcPr>
            <w:tcW w:w="121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30</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restar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安全生产</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开展地震安全性评价现场工作时发生较大以上安全事故</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每次扣30分</w:t>
            </w:r>
          </w:p>
        </w:tc>
        <w:tc>
          <w:tcPr>
            <w:tcW w:w="1218" w:type="pct"/>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31</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开展地震安全性评价现场工作时发生一般安全事故</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每次扣15分</w:t>
            </w:r>
          </w:p>
        </w:tc>
        <w:tc>
          <w:tcPr>
            <w:tcW w:w="1218" w:type="pct"/>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32</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市场行为</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被有关部门取消一定期限内参加依法必须进行招标项目投标资格</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每次扣20分</w:t>
            </w:r>
          </w:p>
        </w:tc>
        <w:tc>
          <w:tcPr>
            <w:tcW w:w="121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288"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33</w:t>
            </w:r>
          </w:p>
        </w:tc>
        <w:tc>
          <w:tcPr>
            <w:tcW w:w="306" w:type="pct"/>
            <w:vMerge w:val="continue"/>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c>
          <w:tcPr>
            <w:tcW w:w="452" w:type="pct"/>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其他行为</w:t>
            </w:r>
          </w:p>
        </w:tc>
        <w:tc>
          <w:tcPr>
            <w:tcW w:w="2173" w:type="pct"/>
            <w:tcMar>
              <w:top w:w="12" w:type="dxa"/>
              <w:left w:w="12" w:type="dxa"/>
              <w:right w:w="12" w:type="dxa"/>
            </w:tcMar>
            <w:vAlign w:val="center"/>
          </w:tcPr>
          <w:p>
            <w:pPr>
              <w:widowControl/>
              <w:snapToGrid w:val="0"/>
              <w:spacing w:after="0" w:line="240" w:lineRule="auto"/>
              <w:jc w:val="left"/>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经依法依规认定的其他与地震安全性评价活动有关的违法犯罪行为</w:t>
            </w:r>
          </w:p>
        </w:tc>
        <w:tc>
          <w:tcPr>
            <w:tcW w:w="559" w:type="pct"/>
            <w:tcMar>
              <w:top w:w="12" w:type="dxa"/>
              <w:left w:w="12" w:type="dxa"/>
              <w:right w:w="12" w:type="dxa"/>
            </w:tcMar>
            <w:vAlign w:val="center"/>
          </w:tcPr>
          <w:p>
            <w:pPr>
              <w:widowControl/>
              <w:snapToGrid w:val="0"/>
              <w:spacing w:after="0" w:line="240" w:lineRule="auto"/>
              <w:jc w:val="center"/>
              <w:textAlignment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每次扣30分</w:t>
            </w:r>
          </w:p>
        </w:tc>
        <w:tc>
          <w:tcPr>
            <w:tcW w:w="1218" w:type="pct"/>
            <w:tcMar>
              <w:top w:w="12" w:type="dxa"/>
              <w:left w:w="12" w:type="dxa"/>
              <w:right w:w="12" w:type="dxa"/>
            </w:tcMar>
            <w:vAlign w:val="center"/>
          </w:tcPr>
          <w:p>
            <w:pPr>
              <w:snapToGrid w:val="0"/>
              <w:spacing w:after="0" w:line="240" w:lineRule="auto"/>
              <w:jc w:val="center"/>
              <w:rPr>
                <w:rFonts w:hint="eastAsia" w:ascii="仿宋_GB2312" w:hAnsi="仿宋_GB2312" w:cs="仿宋_GB2312"/>
                <w:snapToGrid w:val="0"/>
                <w:kern w:val="0"/>
                <w:sz w:val="21"/>
                <w:szCs w:val="21"/>
              </w:rPr>
            </w:pPr>
          </w:p>
        </w:tc>
      </w:tr>
    </w:tbl>
    <w:p>
      <w:pPr>
        <w:pStyle w:val="11"/>
        <w:snapToGrid w:val="0"/>
        <w:spacing w:after="0" w:line="240" w:lineRule="auto"/>
        <w:ind w:firstLine="0" w:firstLineChars="0"/>
        <w:rPr>
          <w:rFonts w:hint="eastAsia" w:ascii="仿宋_GB2312" w:hAnsi="仿宋_GB2312" w:cs="仿宋_GB2312"/>
          <w:snapToGrid w:val="0"/>
          <w:kern w:val="0"/>
          <w:sz w:val="24"/>
          <w:szCs w:val="24"/>
          <w:lang w:val="en"/>
        </w:rPr>
      </w:pPr>
      <w:r>
        <w:rPr>
          <w:rFonts w:ascii="仿宋_GB2312" w:hAnsi="仿宋_GB2312" w:cs="仿宋_GB2312"/>
          <w:snapToGrid w:val="0"/>
          <w:kern w:val="0"/>
          <w:sz w:val="24"/>
          <w:szCs w:val="24"/>
          <w:lang w:val="en"/>
        </w:rPr>
        <w:t>备注</w:t>
      </w:r>
      <w:r>
        <w:rPr>
          <w:rFonts w:hint="eastAsia" w:ascii="仿宋_GB2312" w:hAnsi="仿宋_GB2312" w:cs="仿宋_GB2312"/>
          <w:snapToGrid w:val="0"/>
          <w:kern w:val="0"/>
          <w:sz w:val="24"/>
          <w:szCs w:val="24"/>
          <w:lang w:val="en"/>
        </w:rPr>
        <w:t>:</w:t>
      </w:r>
      <w:r>
        <w:rPr>
          <w:rFonts w:hint="eastAsia" w:ascii="仿宋_GB2312" w:hAnsi="仿宋_GB2312" w:cs="仿宋_GB2312"/>
          <w:snapToGrid w:val="0"/>
          <w:kern w:val="0"/>
          <w:sz w:val="24"/>
          <w:szCs w:val="24"/>
        </w:rPr>
        <w:t>1.</w:t>
      </w:r>
      <w:r>
        <w:rPr>
          <w:rFonts w:hint="eastAsia" w:ascii="仿宋_GB2312" w:hAnsi="仿宋_GB2312" w:cs="仿宋_GB2312"/>
          <w:snapToGrid w:val="0"/>
          <w:kern w:val="0"/>
          <w:sz w:val="24"/>
          <w:szCs w:val="24"/>
          <w:lang w:val="en"/>
        </w:rPr>
        <w:t>事业单位</w:t>
      </w:r>
      <w:r>
        <w:rPr>
          <w:rFonts w:ascii="仿宋_GB2312" w:hAnsi="仿宋_GB2312" w:cs="仿宋_GB2312"/>
          <w:snapToGrid w:val="0"/>
          <w:kern w:val="0"/>
          <w:sz w:val="24"/>
          <w:szCs w:val="24"/>
          <w:lang w:val="en"/>
        </w:rPr>
        <w:t>全职</w:t>
      </w:r>
      <w:r>
        <w:rPr>
          <w:rFonts w:hint="eastAsia" w:ascii="仿宋_GB2312" w:hAnsi="仿宋_GB2312" w:cs="仿宋_GB2312"/>
          <w:snapToGrid w:val="0"/>
          <w:kern w:val="0"/>
          <w:sz w:val="24"/>
          <w:szCs w:val="24"/>
          <w:lang w:val="en"/>
        </w:rPr>
        <w:t>人员应为该单位正式聘用人员，并由该单位缴纳社会保险；企业</w:t>
      </w:r>
      <w:r>
        <w:rPr>
          <w:rFonts w:ascii="仿宋_GB2312" w:hAnsi="仿宋_GB2312" w:cs="仿宋_GB2312"/>
          <w:snapToGrid w:val="0"/>
          <w:kern w:val="0"/>
          <w:sz w:val="24"/>
          <w:szCs w:val="24"/>
          <w:lang w:val="en"/>
        </w:rPr>
        <w:t>全职</w:t>
      </w:r>
      <w:r>
        <w:rPr>
          <w:rFonts w:hint="eastAsia" w:ascii="仿宋_GB2312" w:hAnsi="仿宋_GB2312" w:cs="仿宋_GB2312"/>
          <w:snapToGrid w:val="0"/>
          <w:kern w:val="0"/>
          <w:sz w:val="24"/>
          <w:szCs w:val="24"/>
          <w:lang w:val="en"/>
        </w:rPr>
        <w:t>人员应为与企业签订劳动合同的人员，并由该企业缴纳社会保险。</w:t>
      </w:r>
    </w:p>
    <w:p>
      <w:pPr>
        <w:pStyle w:val="11"/>
        <w:snapToGrid w:val="0"/>
        <w:spacing w:after="0" w:line="240" w:lineRule="auto"/>
        <w:ind w:firstLine="600" w:firstLineChars="250"/>
        <w:rPr>
          <w:rFonts w:hint="eastAsia" w:ascii="仿宋_GB2312" w:hAnsi="仿宋_GB2312" w:cs="仿宋_GB2312"/>
          <w:snapToGrid w:val="0"/>
          <w:kern w:val="0"/>
          <w:sz w:val="24"/>
          <w:szCs w:val="24"/>
          <w:lang w:val="en"/>
        </w:rPr>
      </w:pPr>
      <w:r>
        <w:rPr>
          <w:rFonts w:hint="eastAsia" w:ascii="仿宋_GB2312" w:hAnsi="仿宋_GB2312" w:cs="仿宋_GB2312"/>
          <w:snapToGrid w:val="0"/>
          <w:kern w:val="0"/>
          <w:sz w:val="24"/>
          <w:szCs w:val="24"/>
          <w:lang w:val="en"/>
        </w:rPr>
        <w:t>2.除荣誉信息和中国地震局组织报告抽查检查工作中发现的不合格报告或质量较差报告外，初次信用评价、年度信用评价和动态信用评价均采纳近一年度的信息，且同一信息不重复采用。</w:t>
      </w:r>
    </w:p>
    <w:p>
      <w:pPr>
        <w:spacing w:line="420" w:lineRule="exact"/>
        <w:rPr>
          <w:rFonts w:hint="eastAsia" w:ascii="仿宋_GB2312" w:hAnsi="仿宋_GB2312" w:cs="仿宋_GB2312"/>
          <w:snapToGrid w:val="0"/>
          <w:kern w:val="0"/>
          <w:sz w:val="24"/>
          <w:szCs w:val="24"/>
        </w:rPr>
      </w:pPr>
    </w:p>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仿宋">
    <w:panose1 w:val="02010609060101010101"/>
    <w:charset w:val="86"/>
    <w:family w:val="auto"/>
    <w:pitch w:val="default"/>
    <w:sig w:usb0="800002BF" w:usb1="38CF7CFA" w:usb2="00000016"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等线 Light">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仿宋_GB2312" w:hAnsi="仿宋_GB2312" w:cs="仿宋_GB2312"/>
                              <w:sz w:val="28"/>
                              <w:szCs w:val="28"/>
                            </w:rPr>
                          </w:pPr>
                          <w:r>
                            <w:rPr>
                              <w:rFonts w:hint="eastAsia" w:ascii="仿宋_GB2312" w:hAnsi="仿宋_GB2312" w:cs="仿宋_GB2312"/>
                              <w:sz w:val="28"/>
                              <w:szCs w:val="28"/>
                            </w:rPr>
                            <w:t xml:space="preserve">— </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hint="eastAsia" w:ascii="仿宋_GB2312" w:hAnsi="仿宋_GB2312" w:cs="仿宋_GB2312"/>
                              <w:sz w:val="28"/>
                              <w:szCs w:val="28"/>
                            </w:rPr>
                            <w:t>1</w:t>
                          </w:r>
                          <w:r>
                            <w:rPr>
                              <w:rFonts w:hint="eastAsia" w:ascii="仿宋_GB2312" w:hAnsi="仿宋_GB2312" w:cs="仿宋_GB2312"/>
                              <w:sz w:val="28"/>
                              <w:szCs w:val="28"/>
                            </w:rPr>
                            <w:fldChar w:fldCharType="end"/>
                          </w:r>
                          <w:r>
                            <w:rPr>
                              <w:rFonts w:hint="eastAsia" w:ascii="仿宋_GB2312" w:hAnsi="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12"/>
                      <w:rPr>
                        <w:rFonts w:hint="eastAsia" w:ascii="仿宋_GB2312" w:hAnsi="仿宋_GB2312" w:cs="仿宋_GB2312"/>
                        <w:sz w:val="28"/>
                        <w:szCs w:val="28"/>
                      </w:rPr>
                    </w:pPr>
                    <w:r>
                      <w:rPr>
                        <w:rFonts w:hint="eastAsia" w:ascii="仿宋_GB2312" w:hAnsi="仿宋_GB2312" w:cs="仿宋_GB2312"/>
                        <w:sz w:val="28"/>
                        <w:szCs w:val="28"/>
                      </w:rPr>
                      <w:t xml:space="preserve">— </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hint="eastAsia" w:ascii="仿宋_GB2312" w:hAnsi="仿宋_GB2312" w:cs="仿宋_GB2312"/>
                        <w:sz w:val="28"/>
                        <w:szCs w:val="28"/>
                      </w:rPr>
                      <w:t>1</w:t>
                    </w:r>
                    <w:r>
                      <w:rPr>
                        <w:rFonts w:hint="eastAsia" w:ascii="仿宋_GB2312" w:hAnsi="仿宋_GB2312" w:cs="仿宋_GB2312"/>
                        <w:sz w:val="28"/>
                        <w:szCs w:val="28"/>
                      </w:rPr>
                      <w:fldChar w:fldCharType="end"/>
                    </w:r>
                    <w:r>
                      <w:rPr>
                        <w:rFonts w:hint="eastAsia" w:ascii="仿宋_GB2312" w:hAnsi="仿宋_GB2312" w:cs="仿宋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38F"/>
    <w:rsid w:val="00601131"/>
    <w:rsid w:val="007E738F"/>
    <w:rsid w:val="5EF530CC"/>
    <w:rsid w:val="7FFD3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仿宋_GB2312" w:cs="Times New Roman"/>
      <w:kern w:val="2"/>
      <w:sz w:val="32"/>
      <w:szCs w:val="32"/>
      <w:lang w:val="en-US" w:eastAsia="zh-CN" w:bidi="ar-SA"/>
      <w14:ligatures w14:val="none"/>
    </w:rPr>
  </w:style>
  <w:style w:type="paragraph" w:styleId="2">
    <w:name w:val="heading 1"/>
    <w:basedOn w:val="1"/>
    <w:next w:val="1"/>
    <w:link w:val="19"/>
    <w:qFormat/>
    <w:uiPriority w:val="9"/>
    <w:pPr>
      <w:keepNext/>
      <w:keepLines/>
      <w:spacing w:before="480" w:after="80"/>
      <w:jc w:val="left"/>
      <w:outlineLvl w:val="0"/>
    </w:pPr>
    <w:rPr>
      <w:rFonts w:asciiTheme="majorHAnsi" w:hAnsiTheme="majorHAnsi" w:eastAsiaTheme="majorEastAsia" w:cstheme="majorBidi"/>
      <w:color w:val="2F5597" w:themeColor="accent1" w:themeShade="BF"/>
      <w:sz w:val="48"/>
      <w:szCs w:val="48"/>
      <w14:ligatures w14:val="standardContextual"/>
    </w:rPr>
  </w:style>
  <w:style w:type="paragraph" w:styleId="3">
    <w:name w:val="heading 2"/>
    <w:basedOn w:val="1"/>
    <w:next w:val="1"/>
    <w:link w:val="20"/>
    <w:semiHidden/>
    <w:unhideWhenUsed/>
    <w:qFormat/>
    <w:uiPriority w:val="9"/>
    <w:pPr>
      <w:keepNext/>
      <w:keepLines/>
      <w:spacing w:before="160" w:after="80"/>
      <w:jc w:val="left"/>
      <w:outlineLvl w:val="1"/>
    </w:pPr>
    <w:rPr>
      <w:rFonts w:asciiTheme="majorHAnsi" w:hAnsiTheme="majorHAnsi" w:eastAsiaTheme="majorEastAsia" w:cstheme="majorBidi"/>
      <w:color w:val="2F5597" w:themeColor="accent1" w:themeShade="BF"/>
      <w:sz w:val="40"/>
      <w:szCs w:val="40"/>
      <w14:ligatures w14:val="standardContextual"/>
    </w:rPr>
  </w:style>
  <w:style w:type="paragraph" w:styleId="4">
    <w:name w:val="heading 3"/>
    <w:basedOn w:val="1"/>
    <w:next w:val="1"/>
    <w:link w:val="21"/>
    <w:semiHidden/>
    <w:unhideWhenUsed/>
    <w:qFormat/>
    <w:uiPriority w:val="9"/>
    <w:pPr>
      <w:keepNext/>
      <w:keepLines/>
      <w:spacing w:before="160" w:after="80"/>
      <w:jc w:val="left"/>
      <w:outlineLvl w:val="2"/>
    </w:pPr>
    <w:rPr>
      <w:rFonts w:asciiTheme="majorHAnsi" w:hAnsiTheme="majorHAnsi" w:eastAsiaTheme="majorEastAsia" w:cstheme="majorBidi"/>
      <w:color w:val="2F5597" w:themeColor="accent1" w:themeShade="BF"/>
      <w14:ligatures w14:val="standardContextual"/>
    </w:rPr>
  </w:style>
  <w:style w:type="paragraph" w:styleId="5">
    <w:name w:val="heading 4"/>
    <w:basedOn w:val="1"/>
    <w:next w:val="1"/>
    <w:link w:val="22"/>
    <w:semiHidden/>
    <w:unhideWhenUsed/>
    <w:qFormat/>
    <w:uiPriority w:val="9"/>
    <w:pPr>
      <w:keepNext/>
      <w:keepLines/>
      <w:spacing w:before="80" w:after="40"/>
      <w:jc w:val="left"/>
      <w:outlineLvl w:val="3"/>
    </w:pPr>
    <w:rPr>
      <w:rFonts w:asciiTheme="minorHAnsi" w:hAnsiTheme="minorHAnsi" w:eastAsiaTheme="minorEastAsia" w:cstheme="majorBidi"/>
      <w:color w:val="2F5597" w:themeColor="accent1" w:themeShade="BF"/>
      <w:sz w:val="28"/>
      <w:szCs w:val="28"/>
      <w14:ligatures w14:val="standardContextual"/>
    </w:rPr>
  </w:style>
  <w:style w:type="paragraph" w:styleId="6">
    <w:name w:val="heading 5"/>
    <w:basedOn w:val="1"/>
    <w:next w:val="1"/>
    <w:link w:val="23"/>
    <w:semiHidden/>
    <w:unhideWhenUsed/>
    <w:qFormat/>
    <w:uiPriority w:val="9"/>
    <w:pPr>
      <w:keepNext/>
      <w:keepLines/>
      <w:spacing w:before="80" w:after="40"/>
      <w:jc w:val="left"/>
      <w:outlineLvl w:val="4"/>
    </w:pPr>
    <w:rPr>
      <w:rFonts w:asciiTheme="minorHAnsi" w:hAnsiTheme="minorHAnsi" w:eastAsiaTheme="minorEastAsia" w:cstheme="majorBidi"/>
      <w:color w:val="2F5597" w:themeColor="accent1" w:themeShade="BF"/>
      <w:sz w:val="24"/>
      <w:szCs w:val="24"/>
      <w14:ligatures w14:val="standardContextual"/>
    </w:rPr>
  </w:style>
  <w:style w:type="paragraph" w:styleId="7">
    <w:name w:val="heading 6"/>
    <w:basedOn w:val="1"/>
    <w:next w:val="1"/>
    <w:link w:val="24"/>
    <w:semiHidden/>
    <w:unhideWhenUsed/>
    <w:qFormat/>
    <w:uiPriority w:val="9"/>
    <w:pPr>
      <w:keepNext/>
      <w:keepLines/>
      <w:spacing w:before="40" w:after="0"/>
      <w:jc w:val="left"/>
      <w:outlineLvl w:val="5"/>
    </w:pPr>
    <w:rPr>
      <w:rFonts w:asciiTheme="minorHAnsi" w:hAnsiTheme="minorHAnsi" w:eastAsiaTheme="minorEastAsia" w:cstheme="majorBidi"/>
      <w:b/>
      <w:bCs/>
      <w:color w:val="2F5597" w:themeColor="accent1" w:themeShade="BF"/>
      <w:sz w:val="22"/>
      <w:szCs w:val="24"/>
      <w14:ligatures w14:val="standardContextual"/>
    </w:rPr>
  </w:style>
  <w:style w:type="paragraph" w:styleId="8">
    <w:name w:val="heading 7"/>
    <w:basedOn w:val="1"/>
    <w:next w:val="1"/>
    <w:link w:val="25"/>
    <w:semiHidden/>
    <w:unhideWhenUsed/>
    <w:qFormat/>
    <w:uiPriority w:val="9"/>
    <w:pPr>
      <w:keepNext/>
      <w:keepLines/>
      <w:spacing w:before="40" w:after="0"/>
      <w:jc w:val="left"/>
      <w:outlineLvl w:val="6"/>
    </w:pPr>
    <w:rPr>
      <w:rFonts w:asciiTheme="minorHAnsi" w:hAnsiTheme="minorHAnsi" w:eastAsiaTheme="minorEastAsia" w:cstheme="majorBidi"/>
      <w:b/>
      <w:bCs/>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9">
    <w:name w:val="heading 8"/>
    <w:basedOn w:val="1"/>
    <w:next w:val="1"/>
    <w:link w:val="26"/>
    <w:semiHidden/>
    <w:unhideWhenUsed/>
    <w:qFormat/>
    <w:uiPriority w:val="9"/>
    <w:pPr>
      <w:keepNext/>
      <w:keepLines/>
      <w:spacing w:after="0"/>
      <w:jc w:val="left"/>
      <w:outlineLvl w:val="7"/>
    </w:pPr>
    <w:rPr>
      <w:rFonts w:asciiTheme="minorHAnsi" w:hAnsiTheme="minorHAnsi" w:eastAsiaTheme="min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10">
    <w:name w:val="heading 9"/>
    <w:basedOn w:val="1"/>
    <w:next w:val="1"/>
    <w:link w:val="27"/>
    <w:semiHidden/>
    <w:unhideWhenUsed/>
    <w:qFormat/>
    <w:uiPriority w:val="9"/>
    <w:pPr>
      <w:keepNext/>
      <w:keepLines/>
      <w:spacing w:after="0"/>
      <w:jc w:val="left"/>
      <w:outlineLvl w:val="8"/>
    </w:pPr>
    <w:rPr>
      <w:rFonts w:asciiTheme="minorHAnsi" w:hAnsiTheme="minorHAnsi" w:eastAsiaTheme="maj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
    <w:unhideWhenUsed/>
    <w:qFormat/>
    <w:uiPriority w:val="99"/>
    <w:pPr>
      <w:ind w:firstLine="420" w:firstLineChars="200"/>
    </w:pPr>
  </w:style>
  <w:style w:type="paragraph" w:styleId="12">
    <w:name w:val="footer"/>
    <w:basedOn w:val="1"/>
    <w:semiHidden/>
    <w:unhideWhenUsed/>
    <w:uiPriority w:val="99"/>
    <w:pPr>
      <w:tabs>
        <w:tab w:val="center" w:pos="4153"/>
        <w:tab w:val="right" w:pos="8306"/>
      </w:tabs>
      <w:snapToGrid w:val="0"/>
      <w:jc w:val="left"/>
    </w:pPr>
    <w:rPr>
      <w:sz w:val="18"/>
      <w:szCs w:val="18"/>
    </w:rPr>
  </w:style>
  <w:style w:type="paragraph" w:styleId="13">
    <w:name w:val="header"/>
    <w:basedOn w:val="1"/>
    <w:semiHidden/>
    <w:unhideWhenUsed/>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5">
    <w:name w:val="Normal (Web)"/>
    <w:unhideWhenUsed/>
    <w:qFormat/>
    <w:uiPriority w:val="99"/>
    <w:pPr>
      <w:spacing w:before="100" w:beforeAutospacing="1" w:after="100" w:afterAutospacing="1" w:line="278" w:lineRule="auto"/>
    </w:pPr>
    <w:rPr>
      <w:rFonts w:ascii="宋体" w:hAnsi="宋体" w:eastAsia="宋体" w:cs="宋体"/>
      <w:kern w:val="0"/>
      <w:sz w:val="24"/>
      <w:szCs w:val="24"/>
      <w:lang w:val="en-US" w:eastAsia="zh-CN" w:bidi="ar-SA"/>
      <w14:ligatures w14:val="none"/>
    </w:rPr>
  </w:style>
  <w:style w:type="paragraph" w:styleId="16">
    <w:name w:val="Title"/>
    <w:basedOn w:val="1"/>
    <w:next w:val="1"/>
    <w:link w:val="28"/>
    <w:qFormat/>
    <w:uiPriority w:val="10"/>
    <w:pPr>
      <w:spacing w:after="80" w:line="240" w:lineRule="auto"/>
      <w:contextualSpacing/>
      <w:jc w:val="center"/>
    </w:pPr>
    <w:rPr>
      <w:rFonts w:asciiTheme="majorHAnsi" w:hAnsiTheme="majorHAnsi" w:eastAsiaTheme="majorEastAsia" w:cstheme="majorBidi"/>
      <w:spacing w:val="-10"/>
      <w:kern w:val="28"/>
      <w:sz w:val="56"/>
      <w:szCs w:val="56"/>
      <w14:ligatures w14:val="standardContextual"/>
    </w:rPr>
  </w:style>
  <w:style w:type="character" w:customStyle="1" w:styleId="19">
    <w:name w:val="标题 1 字符"/>
    <w:basedOn w:val="18"/>
    <w:link w:val="2"/>
    <w:qFormat/>
    <w:uiPriority w:val="9"/>
    <w:rPr>
      <w:rFonts w:asciiTheme="majorHAnsi" w:hAnsiTheme="majorHAnsi" w:eastAsiaTheme="majorEastAsia" w:cstheme="majorBidi"/>
      <w:color w:val="2F5597" w:themeColor="accent1" w:themeShade="BF"/>
      <w:sz w:val="48"/>
      <w:szCs w:val="48"/>
    </w:rPr>
  </w:style>
  <w:style w:type="character" w:customStyle="1" w:styleId="20">
    <w:name w:val="标题 2 字符"/>
    <w:basedOn w:val="18"/>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1">
    <w:name w:val="标题 3 字符"/>
    <w:basedOn w:val="18"/>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2">
    <w:name w:val="标题 4 字符"/>
    <w:basedOn w:val="18"/>
    <w:link w:val="5"/>
    <w:semiHidden/>
    <w:qFormat/>
    <w:uiPriority w:val="9"/>
    <w:rPr>
      <w:rFonts w:cstheme="majorBidi"/>
      <w:color w:val="2F5597" w:themeColor="accent1" w:themeShade="BF"/>
      <w:sz w:val="28"/>
      <w:szCs w:val="28"/>
    </w:rPr>
  </w:style>
  <w:style w:type="character" w:customStyle="1" w:styleId="23">
    <w:name w:val="标题 5 字符"/>
    <w:basedOn w:val="18"/>
    <w:link w:val="6"/>
    <w:semiHidden/>
    <w:qFormat/>
    <w:uiPriority w:val="9"/>
    <w:rPr>
      <w:rFonts w:cstheme="majorBidi"/>
      <w:color w:val="2F5597" w:themeColor="accent1" w:themeShade="BF"/>
      <w:sz w:val="24"/>
    </w:rPr>
  </w:style>
  <w:style w:type="character" w:customStyle="1" w:styleId="24">
    <w:name w:val="标题 6 字符"/>
    <w:basedOn w:val="18"/>
    <w:link w:val="7"/>
    <w:semiHidden/>
    <w:qFormat/>
    <w:uiPriority w:val="9"/>
    <w:rPr>
      <w:rFonts w:cstheme="majorBidi"/>
      <w:b/>
      <w:bCs/>
      <w:color w:val="2F5597" w:themeColor="accent1" w:themeShade="BF"/>
    </w:rPr>
  </w:style>
  <w:style w:type="character" w:customStyle="1" w:styleId="25">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6"/>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rFonts w:asciiTheme="minorHAnsi" w:hAnsiTheme="minorHAnsi" w:eastAsiaTheme="minorEastAsia" w:cstheme="minorBidi"/>
      <w:i/>
      <w:iCs/>
      <w:color w:val="404040" w:themeColor="text1" w:themeTint="BF"/>
      <w:sz w:val="22"/>
      <w:szCs w:val="24"/>
      <w14:textFill>
        <w14:solidFill>
          <w14:schemeClr w14:val="tx1">
            <w14:lumMod w14:val="75000"/>
            <w14:lumOff w14:val="25000"/>
          </w14:schemeClr>
        </w14:solidFill>
      </w14:textFill>
      <w14:ligatures w14:val="standardContextual"/>
    </w:rPr>
  </w:style>
  <w:style w:type="character" w:customStyle="1" w:styleId="31">
    <w:name w:val="引用 字符"/>
    <w:basedOn w:val="18"/>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jc w:val="left"/>
    </w:pPr>
    <w:rPr>
      <w:rFonts w:asciiTheme="minorHAnsi" w:hAnsiTheme="minorHAnsi" w:eastAsiaTheme="minorEastAsia" w:cstheme="minorBidi"/>
      <w:sz w:val="22"/>
      <w:szCs w:val="24"/>
      <w14:ligatures w14:val="standardContextual"/>
    </w:rPr>
  </w:style>
  <w:style w:type="character" w:customStyle="1" w:styleId="33">
    <w:name w:val="Intense Emphasis"/>
    <w:basedOn w:val="18"/>
    <w:qFormat/>
    <w:uiPriority w:val="21"/>
    <w:rPr>
      <w:i/>
      <w:iCs/>
      <w:color w:val="2F5597" w:themeColor="accent1" w:themeShade="BF"/>
    </w:rPr>
  </w:style>
  <w:style w:type="paragraph" w:styleId="34">
    <w:name w:val="Intense Quote"/>
    <w:basedOn w:val="1"/>
    <w:next w:val="1"/>
    <w:link w:val="35"/>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rFonts w:asciiTheme="minorHAnsi" w:hAnsiTheme="minorHAnsi" w:eastAsiaTheme="minorEastAsia" w:cstheme="minorBidi"/>
      <w:i/>
      <w:iCs/>
      <w:color w:val="2F5597" w:themeColor="accent1" w:themeShade="BF"/>
      <w:sz w:val="22"/>
      <w:szCs w:val="24"/>
      <w14:ligatures w14:val="standardContextual"/>
    </w:rPr>
  </w:style>
  <w:style w:type="character" w:customStyle="1" w:styleId="35">
    <w:name w:val="明显引用 字符"/>
    <w:basedOn w:val="18"/>
    <w:link w:val="34"/>
    <w:qFormat/>
    <w:uiPriority w:val="30"/>
    <w:rPr>
      <w:i/>
      <w:iCs/>
      <w:color w:val="2F5597" w:themeColor="accent1" w:themeShade="BF"/>
    </w:rPr>
  </w:style>
  <w:style w:type="character" w:customStyle="1" w:styleId="36">
    <w:name w:val="Intense Reference"/>
    <w:basedOn w:val="18"/>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330</Words>
  <Characters>1882</Characters>
  <Lines>15</Lines>
  <Paragraphs>4</Paragraphs>
  <TotalTime>3</TotalTime>
  <ScaleCrop>false</ScaleCrop>
  <LinksUpToDate>false</LinksUpToDate>
  <CharactersWithSpaces>2208</CharactersWithSpaces>
  <Application>WPS Office_11.8.2.10554_F1E327BC-269C-435d-A152-05C5408002CA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2025-03-28T23:35:00Z</dcterms:created>
  <dc:creator>MMM</dc:creator>
  <cp:lastModifiedBy>吴英琴</cp:lastModifiedBy>
  <dcterms:modified xsi:type="dcterms:W3CDTF">2026-01-08T09:11:43Z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2052-11.8.2.10554</vt:lpwstr>
  </property>
</Properties>
</file>